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pict>
          <v:line id="_x0000_s2050" o:spid="_x0000_s2050" o:spt="20" style="position:absolute;left:0pt;margin-left:391.7pt;margin-top:30pt;height:12.75pt;width:0.1pt;z-index:25169408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2051" o:spid="_x0000_s2051" o:spt="20" style="position:absolute;left:0pt;flip:y;margin-left:177.95pt;margin-top:29.4pt;height:0.75pt;width:425.3pt;z-index:25169510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2052" o:spid="_x0000_s2052" o:spt="20" style="position:absolute;left:0pt;margin-left:600.95pt;margin-top:27.9pt;height:15pt;width:0.05pt;z-index:251697152;mso-width-relative:page;mso-height-relative:page;" filled="t" coordsize="21600,21600">
            <v:path arrowok="t"/>
            <v:fill on="t" focussize="0,0"/>
            <v:stroke/>
            <v:imagedata o:title=""/>
            <o:lock v:ext="edit"/>
          </v:line>
        </w:pict>
      </w:r>
      <w:r>
        <w:pict>
          <v:line id="_x0000_s2053" o:spid="_x0000_s2053" o:spt="20" style="position:absolute;left:0pt;margin-left:177.95pt;margin-top:29.4pt;height:14.6pt;width:0.35pt;z-index:25169612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方正小标宋简体" w:eastAsia="方正小标宋简体"/>
          <w:sz w:val="36"/>
          <w:szCs w:val="36"/>
        </w:rPr>
        <w:t>工伤保险业务经办流程图</w:t>
      </w:r>
    </w:p>
    <w:p>
      <w:pPr>
        <w:jc w:val="center"/>
        <w:rPr>
          <w:rFonts w:asciiTheme="majorEastAsia" w:hAnsiTheme="majorEastAsia" w:eastAsiaTheme="majorEastAsia"/>
          <w:szCs w:val="21"/>
        </w:rPr>
      </w:pPr>
      <w:r>
        <w:pict>
          <v:shape id="_x0000_s2054" o:spid="_x0000_s2054" o:spt="109" type="#_x0000_t109" style="position:absolute;left:0pt;margin-left:134.45pt;margin-top:13.55pt;height:26.25pt;width:90.05pt;z-index:251691008;mso-width-relative:page;mso-height-relative:page;" stroked="t" coordsize="21600,21600">
            <v:path/>
            <v:fill focussize="0,0"/>
            <v:stroke weight="3pt" color="#0070C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发生工伤备案</w:t>
                  </w:r>
                </w:p>
              </w:txbxContent>
            </v:textbox>
          </v:shape>
        </w:pict>
      </w:r>
      <w:r>
        <w:pict>
          <v:shape id="_x0000_s2056" o:spid="_x0000_s2056" o:spt="109" type="#_x0000_t109" style="position:absolute;left:0pt;margin-left:314.45pt;margin-top:10.35pt;height:25.5pt;width:163.1pt;z-index:251692032;mso-width-relative:page;mso-height-relative:page;" stroked="t" coordsize="21600,21600">
            <v:path/>
            <v:fill focussize="0,0"/>
            <v:stroke weight="3pt" color="#0070C0" joinstyle="miter"/>
            <v:imagedata o:title=""/>
            <o:lock v:ext="edit"/>
            <v:textbox>
              <w:txbxContent>
                <w:p>
                  <w:pPr>
                    <w:rPr>
                      <w:rFonts w:asciiTheme="majorEastAsia" w:hAnsiTheme="majorEastAsia" w:eastAsiaTheme="majorEastAsia" w:cstheme="majorEastAsia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  <w:t>定点医疗机构救治工伤职工工</w:t>
                  </w:r>
                </w:p>
              </w:txbxContent>
            </v:textbox>
          </v:shape>
        </w:pict>
      </w:r>
      <w:r>
        <w:pict>
          <v:shape id="_x0000_s2057" o:spid="_x0000_s2057" o:spt="109" type="#_x0000_t109" style="position:absolute;left:0pt;margin-left:556.7pt;margin-top:13.35pt;height:27pt;width:90.75pt;z-index:251693056;mso-width-relative:page;mso-height-relative:page;" stroked="t" coordsize="21600,21600">
            <v:path/>
            <v:fill focussize="0,0"/>
            <v:stroke weight="3pt" color="#0070C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Theme="majorEastAsia" w:hAnsiTheme="majorEastAsia" w:eastAsiaTheme="majorEastAsia" w:cstheme="majorEastAsia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4"/>
                      <w:szCs w:val="24"/>
                    </w:rPr>
                    <w:t>申请工伤认定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Cs w:val="21"/>
        </w:rPr>
        <w:pict>
          <v:shape id="_x0000_s2058" o:spid="_x0000_s2058" o:spt="32" type="#_x0000_t32" style="position:absolute;left:0pt;margin-left:393.75pt;margin-top:35.4pt;height:15pt;width:0pt;z-index:2521866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line id="_x0000_s2059" o:spid="_x0000_s2059" o:spt="20" style="position:absolute;left:0pt;flip:x;margin-left:393.55pt;margin-top:70.95pt;height:13.1pt;width:0.4pt;z-index:252169216;mso-width-relative:page;mso-height-relative:page;" filled="t" coordsize="21600,21600">
            <v:path arrowok="t"/>
            <v:fill on="t" focussize="0,0"/>
            <v:stroke/>
            <v:imagedata o:title=""/>
            <o:lock v:ext="edit"/>
          </v:line>
        </w:pict>
      </w:r>
      <w:r>
        <w:rPr>
          <w:rFonts w:asciiTheme="majorEastAsia" w:hAnsiTheme="majorEastAsia" w:eastAsiaTheme="majorEastAsia"/>
          <w:szCs w:val="21"/>
        </w:rPr>
        <w:pict>
          <v:shape id="_x0000_s2061" o:spid="_x0000_s2061" o:spt="32" type="#_x0000_t32" style="position:absolute;left:0pt;margin-left:704.25pt;margin-top:81.9pt;height:15pt;width:0pt;z-index:2516776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Cs w:val="21"/>
        </w:rPr>
        <w:pict>
          <v:shape id="_x0000_s2062" o:spid="_x0000_s2062" o:spt="109" type="#_x0000_t109" style="position:absolute;left:0pt;margin-left:648.95pt;margin-top:97.8pt;height:29.35pt;width:107.9pt;z-index:251663360;mso-width-relative:page;mso-height-relative:page;" stroked="t" coordsize="21600,21600">
            <v:path/>
            <v:fill focussize="0,0"/>
            <v:stroke weight="3pt" color="#0070C0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安装伤残辅助器具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Cs w:val="21"/>
        </w:rPr>
        <w:pict>
          <v:shape id="_x0000_s2063" o:spid="_x0000_s2063" o:spt="32" type="#_x0000_t32" style="position:absolute;left:0pt;margin-left:704.25pt;margin-top:126.15pt;height:15pt;width:0pt;z-index:2519040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Cs w:val="21"/>
        </w:rPr>
        <w:pict>
          <v:shape id="_x0000_s2064" o:spid="_x0000_s2064" o:spt="32" type="#_x0000_t32" style="position:absolute;left:0pt;flip:y;margin-left:80.25pt;margin-top:82.6pt;height:0.05pt;width:625pt;z-index:251672576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Cs w:val="21"/>
        </w:rPr>
        <w:pict>
          <v:shape id="_x0000_s2065" o:spid="_x0000_s2065" o:spt="109" type="#_x0000_t109" style="position:absolute;left:0pt;margin-left:441pt;margin-top:95.4pt;height:26.65pt;width:90.75pt;z-index:251662336;mso-width-relative:page;mso-height-relative:page;" stroked="t" coordsize="21600,21600">
            <v:path/>
            <v:fill focussize="0,0"/>
            <v:stroke weight="3pt" color="#0070C0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工亡待遇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Cs w:val="21"/>
        </w:rPr>
        <w:pict>
          <v:shape id="_x0000_s2066" o:spid="_x0000_s2066" o:spt="32" type="#_x0000_t32" style="position:absolute;left:0pt;flip:x;margin-left:486.85pt;margin-top:123.85pt;height:14pt;width:0.15pt;z-index:251680768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Cs w:val="21"/>
        </w:rPr>
        <w:pict>
          <v:shape id="_x0000_s2067" o:spid="_x0000_s2067" o:spt="32" type="#_x0000_t32" style="position:absolute;left:0pt;margin-left:279.75pt;margin-top:83.4pt;height:15pt;width:0pt;z-index:25188352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Cs w:val="21"/>
        </w:rPr>
        <w:pict>
          <v:shape id="_x0000_s2068" o:spid="_x0000_s2068" o:spt="109" type="#_x0000_t109" style="position:absolute;left:0pt;margin-left:234.85pt;margin-top:98.15pt;height:26.8pt;width:90.75pt;z-index:251661312;mso-width-relative:page;mso-height-relative:page;" stroked="t" coordsize="21600,21600">
            <v:path/>
            <v:fill focussize="0,0"/>
            <v:stroke weight="3pt" color="#0070C0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伤残待遇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Cs w:val="21"/>
        </w:rPr>
        <w:pict>
          <v:shape id="_x0000_s2069" o:spid="_x0000_s2069" o:spt="32" type="#_x0000_t32" style="position:absolute;left:0pt;flip:x;margin-left:279.4pt;margin-top:123.85pt;height:13.95pt;width:0.6pt;z-index:251679744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Cs w:val="21"/>
        </w:rPr>
        <w:pict>
          <v:shape id="_x0000_s2070" o:spid="_x0000_s2070" o:spt="32" type="#_x0000_t32" style="position:absolute;left:0pt;margin-left:79.5pt;margin-top:81.9pt;height:15pt;width:0pt;z-index:2516746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Cs w:val="21"/>
        </w:rPr>
        <w:pict>
          <v:shape id="_x0000_s2071" o:spid="_x0000_s2071" o:spt="109" type="#_x0000_t109" style="position:absolute;left:0pt;margin-left:36pt;margin-top:96.9pt;height:25.3pt;width:90.75pt;z-index:251660288;mso-width-relative:page;mso-height-relative:page;" stroked="t" coordsize="21600,21600">
            <v:path/>
            <v:fill focussize="0,0"/>
            <v:stroke weight="3pt" color="#0070C0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医疗待遇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Cs w:val="21"/>
        </w:rPr>
        <w:pict>
          <v:shape id="_x0000_s2075" o:spid="_x0000_s2075" o:spt="32" type="#_x0000_t32" style="position:absolute;left:0pt;flip:x;margin-left:381.6pt;margin-top:349.35pt;height:10.4pt;width:0.35pt;z-index:251689984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Cs w:val="21"/>
        </w:rPr>
        <w:pict>
          <v:shape id="_x0000_s2079" o:spid="_x0000_s2079" o:spt="109" type="#_x0000_t109" style="position:absolute;left:0pt;margin-left:314pt;margin-top:398pt;height:23.45pt;width:134.15pt;z-index:251670528;mso-width-relative:page;mso-height-relative:page;" stroked="t" coordsize="21600,21600">
            <v:path/>
            <v:fill focussize="0,0"/>
            <v:stroke weight="3pt" color="#0070C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中心领导审批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Cs w:val="21"/>
        </w:rPr>
        <w:pict>
          <v:shape id="_x0000_s2080" o:spid="_x0000_s2080" o:spt="109" type="#_x0000_t109" style="position:absolute;left:0pt;margin-left:301pt;margin-top:360.75pt;height:22.8pt;width:169.75pt;z-index:251745280;mso-width-relative:page;mso-height-relative:page;" stroked="t" coordsize="21600,21600">
            <v:path/>
            <v:fill focussize="0,0"/>
            <v:stroke weight="3pt" color="#0070C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基金科审核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Cs w:val="21"/>
        </w:rPr>
        <w:pict>
          <v:shape id="_x0000_s2085" o:spid="_x0000_s2085" o:spt="32" type="#_x0000_t32" style="position:absolute;left:0pt;margin-left:503.55pt;margin-top:300.3pt;height:18.95pt;width:0.3pt;z-index:25186406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Cs w:val="21"/>
        </w:rPr>
        <w:pict>
          <v:shape id="_x0000_s2086" o:spid="_x0000_s2086" o:spt="109" type="#_x0000_t109" style="position:absolute;left:0pt;margin-left:632.05pt;margin-top:141.3pt;height:156.9pt;width:150.75pt;z-index:251666432;mso-width-relative:page;mso-height-relative:page;" stroked="t" coordsize="21600,21600">
            <v:path/>
            <v:fill focussize="0,0"/>
            <v:stroke weight="3pt" color="#0070C0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申报材料：</w:t>
                  </w:r>
                </w:p>
                <w:p>
                  <w:r>
                    <w:rPr>
                      <w:rFonts w:hint="eastAsia"/>
                    </w:rPr>
                    <w:t>1、劳动能力鉴定委员会确认安装辅助器具的审批表</w:t>
                  </w:r>
                </w:p>
                <w:p>
                  <w:r>
                    <w:rPr>
                      <w:rFonts w:hint="eastAsia"/>
                    </w:rPr>
                    <w:t>2、本人申请</w:t>
                  </w:r>
                </w:p>
                <w:p/>
              </w:txbxContent>
            </v:textbox>
          </v:shape>
        </w:pict>
      </w:r>
      <w:r>
        <w:rPr>
          <w:rFonts w:asciiTheme="majorEastAsia" w:hAnsiTheme="majorEastAsia" w:eastAsiaTheme="majorEastAsia"/>
          <w:szCs w:val="21"/>
        </w:rPr>
        <w:pict>
          <v:shape id="_x0000_s2087" o:spid="_x0000_s2087" o:spt="109" type="#_x0000_t109" style="position:absolute;left:0pt;margin-left:392.7pt;margin-top:199.05pt;height:101.3pt;width:229.05pt;z-index:251667456;mso-width-relative:page;mso-height-relative:page;" stroked="t" coordsize="21600,21600">
            <v:path/>
            <v:fill focussize="0,0"/>
            <v:stroke weight="3pt" color="#0070C0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申报材料：</w:t>
                  </w:r>
                </w:p>
                <w:p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1、</w:t>
                  </w:r>
                  <w:r>
                    <w:rPr>
                      <w:rFonts w:hint="eastAsia"/>
                      <w:szCs w:val="21"/>
                    </w:rPr>
                    <w:t>呼和浩特市因工死亡（参保缴费）职工供养直系亲属抚恤金申报核定表</w:t>
                  </w:r>
                </w:p>
                <w:p>
                  <w:r>
                    <w:rPr>
                      <w:rFonts w:hint="eastAsia"/>
                    </w:rPr>
                    <w:t>2、工亡职工家庭成员信息调查表</w:t>
                  </w:r>
                </w:p>
                <w:p>
                  <w:r>
                    <w:rPr>
                      <w:rFonts w:hint="eastAsia"/>
                    </w:rPr>
                    <w:t xml:space="preserve">3、网银结算信息资料申报表（一份电子版、二份纸质版） </w:t>
                  </w:r>
                </w:p>
                <w:p>
                  <w:r>
                    <w:rPr>
                      <w:rFonts w:hint="eastAsia"/>
                    </w:rPr>
                    <w:t>4、工伤认定书复印件</w:t>
                  </w:r>
                </w:p>
                <w:p/>
              </w:txbxContent>
            </v:textbox>
          </v:shape>
        </w:pict>
      </w:r>
      <w:r>
        <w:rPr>
          <w:rFonts w:asciiTheme="majorEastAsia" w:hAnsiTheme="majorEastAsia" w:eastAsiaTheme="majorEastAsia"/>
          <w:szCs w:val="21"/>
        </w:rPr>
        <w:pict>
          <v:shape id="_x0000_s2088" o:spid="_x0000_s2088" o:spt="109" type="#_x0000_t109" style="position:absolute;left:0pt;margin-left:392.85pt;margin-top:137.65pt;height:38.35pt;width:185.25pt;z-index:251668480;mso-width-relative:page;mso-height-relative:page;" stroked="t" coordsize="21600,21600">
            <v:path/>
            <v:fill focussize="0,0"/>
            <v:stroke weight="3pt" color="#0070C0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单位专管员到养老账户科办理工亡职工退保手续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Cs w:val="21"/>
        </w:rPr>
        <w:pict>
          <v:shape id="_x0000_s2089" o:spid="_x0000_s2089" o:spt="109" type="#_x0000_t109" style="position:absolute;left:0pt;margin-left:184.05pt;margin-top:137pt;height:164.7pt;width:201.25pt;z-index:251665408;mso-width-relative:page;mso-height-relative:page;" stroked="t" coordsize="21600,21600">
            <v:path/>
            <v:fill focussize="0,0"/>
            <v:stroke weight="3pt" color="#0070C0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申报材料：</w:t>
                  </w:r>
                </w:p>
                <w:p>
                  <w:r>
                    <w:rPr>
                      <w:rFonts w:hint="eastAsia"/>
                    </w:rPr>
                    <w:t>1、经工伤职工本人签字认可的鉴定等级的工伤鉴定结论书复印件</w:t>
                  </w:r>
                </w:p>
                <w:p>
                  <w:r>
                    <w:rPr>
                      <w:rFonts w:hint="eastAsia"/>
                    </w:rPr>
                    <w:t>2、解除劳动、聘用合同伤残职工需提供：</w:t>
                  </w:r>
                </w:p>
                <w:p>
                  <w:r>
                    <w:rPr>
                      <w:rFonts w:hint="eastAsia"/>
                    </w:rPr>
                    <w:fldChar w:fldCharType="begin"/>
                  </w:r>
                  <w:r>
                    <w:rPr>
                      <w:rFonts w:hint="eastAsia"/>
                    </w:rPr>
                    <w:instrText xml:space="preserve"> = 1 \* GB2 \* MERGEFORMAT </w:instrText>
                  </w:r>
                  <w:r>
                    <w:rPr>
                      <w:rFonts w:hint="eastAsia"/>
                    </w:rPr>
                    <w:fldChar w:fldCharType="separate"/>
                  </w:r>
                  <w:r>
                    <w:t>⑴</w:t>
                  </w:r>
                  <w:r>
                    <w:rPr>
                      <w:rFonts w:hint="eastAsia"/>
                    </w:rPr>
                    <w:fldChar w:fldCharType="end"/>
                  </w:r>
                  <w:r>
                    <w:rPr>
                      <w:rFonts w:hint="eastAsia"/>
                    </w:rPr>
                    <w:t>《呼和浩特市参（保缴费职工）一次性工伤医疗补助金申请审核表》一式三份</w:t>
                  </w:r>
                </w:p>
                <w:p>
                  <w:r>
                    <w:rPr>
                      <w:rFonts w:hint="eastAsia"/>
                    </w:rPr>
                    <w:fldChar w:fldCharType="begin"/>
                  </w:r>
                  <w:r>
                    <w:rPr>
                      <w:rFonts w:hint="eastAsia"/>
                    </w:rPr>
                    <w:instrText xml:space="preserve"> = 2 \* GB2 \* MERGEFORMAT </w:instrText>
                  </w:r>
                  <w:r>
                    <w:rPr>
                      <w:rFonts w:hint="eastAsia"/>
                    </w:rPr>
                    <w:fldChar w:fldCharType="separate"/>
                  </w:r>
                  <w:r>
                    <w:t>⑵</w:t>
                  </w:r>
                  <w:r>
                    <w:rPr>
                      <w:rFonts w:hint="eastAsia"/>
                    </w:rPr>
                    <w:fldChar w:fldCharType="end"/>
                  </w:r>
                  <w:r>
                    <w:rPr>
                      <w:rFonts w:hint="eastAsia"/>
                    </w:rPr>
                    <w:t>解除劳动关系证明及领取一次性伤残就业补助金协议书复印件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fldChar w:fldCharType="begin"/>
                  </w:r>
                  <w:r>
                    <w:rPr>
                      <w:rFonts w:hint="eastAsia"/>
                    </w:rPr>
                    <w:instrText xml:space="preserve"> = 3 \* GB2 \* MERGEFORMAT </w:instrText>
                  </w:r>
                  <w:r>
                    <w:rPr>
                      <w:rFonts w:hint="eastAsia"/>
                    </w:rPr>
                    <w:fldChar w:fldCharType="separate"/>
                  </w:r>
                  <w:r>
                    <w:t>⑶</w:t>
                  </w:r>
                  <w:r>
                    <w:rPr>
                      <w:rFonts w:hint="eastAsia"/>
                    </w:rPr>
                    <w:fldChar w:fldCharType="end"/>
                  </w:r>
                  <w:r>
                    <w:rPr>
                      <w:rFonts w:hint="eastAsia"/>
                      <w:sz w:val="18"/>
                      <w:szCs w:val="18"/>
                    </w:rPr>
                    <w:t>网银结算信息资料申报表（一份电子版、二份纸质版）</w:t>
                  </w:r>
                </w:p>
                <w:p/>
              </w:txbxContent>
            </v:textbox>
          </v:shape>
        </w:pict>
      </w:r>
      <w:r>
        <w:rPr>
          <w:rFonts w:asciiTheme="majorEastAsia" w:hAnsiTheme="majorEastAsia" w:eastAsiaTheme="majorEastAsia"/>
          <w:szCs w:val="21"/>
        </w:rPr>
        <w:pict>
          <v:shape id="_x0000_s2092" o:spid="_x0000_s2092" o:spt="32" type="#_x0000_t32" style="position:absolute;left:0pt;margin-left:486.75pt;margin-top:177.85pt;height:23.3pt;width:0pt;z-index:2516817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Theme="majorEastAsia" w:hAnsiTheme="majorEastAsia" w:eastAsiaTheme="majorEastAsia"/>
          <w:szCs w:val="21"/>
        </w:rPr>
      </w:pPr>
    </w:p>
    <w:p>
      <w:pPr>
        <w:rPr>
          <w:rFonts w:asciiTheme="majorEastAsia" w:hAnsiTheme="majorEastAsia" w:eastAsiaTheme="majorEastAsia"/>
          <w:szCs w:val="21"/>
        </w:rPr>
      </w:pPr>
    </w:p>
    <w:p>
      <w:pPr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pict>
          <v:shape id="_x0000_s2055" o:spid="_x0000_s2055" o:spt="109" type="#_x0000_t109" style="position:absolute;left:0pt;margin-left:220.5pt;margin-top:1.85pt;height:24pt;width:342.95pt;z-index:251659264;mso-width-relative:page;mso-height-relative:page;" fillcolor="#FFFFFF" filled="t" stroked="t" coordsize="21600,21600">
            <v:path/>
            <v:fill on="t" color2="#FFFFFF" focussize="0,0"/>
            <v:stroke weight="3pt" color="#0070C0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划账后单位专管员携带相关资料去奈伦国际B 座</w:t>
                  </w:r>
                  <w:r>
                    <w:rPr>
                      <w:rFonts w:hint="eastAsia"/>
                      <w:lang w:val="en-US" w:eastAsia="zh-CN"/>
                    </w:rPr>
                    <w:t>1203</w:t>
                  </w:r>
                  <w:r>
                    <w:rPr>
                      <w:rFonts w:hint="eastAsia"/>
                    </w:rPr>
                    <w:t>室提出待遇申请</w:t>
                  </w:r>
                </w:p>
              </w:txbxContent>
            </v:textbox>
          </v:shape>
        </w:pict>
      </w:r>
    </w:p>
    <w:p>
      <w:pPr>
        <w:rPr>
          <w:rFonts w:asciiTheme="majorEastAsia" w:hAnsiTheme="majorEastAsia" w:eastAsiaTheme="majorEastAsia"/>
          <w:szCs w:val="21"/>
        </w:rPr>
      </w:pPr>
    </w:p>
    <w:p>
      <w:pPr>
        <w:rPr>
          <w:rFonts w:asciiTheme="majorEastAsia" w:hAnsiTheme="majorEastAsia" w:eastAsiaTheme="majorEastAsia"/>
          <w:szCs w:val="21"/>
        </w:rPr>
      </w:pPr>
    </w:p>
    <w:p>
      <w:pPr>
        <w:rPr>
          <w:rFonts w:asciiTheme="majorEastAsia" w:hAnsiTheme="majorEastAsia" w:eastAsiaTheme="majorEastAsia"/>
          <w:szCs w:val="21"/>
        </w:rPr>
      </w:pPr>
    </w:p>
    <w:p>
      <w:pPr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pict>
          <v:shape id="_x0000_s2091" o:spid="_x0000_s2091" o:spt="32" type="#_x0000_t32" style="position:absolute;left:0pt;margin-left:80.85pt;margin-top:12.8pt;height:11.25pt;width:0pt;z-index:251678720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pict>
          <v:shape id="_x0000_s2090" o:spid="_x0000_s2090" o:spt="109" type="#_x0000_t109" style="position:absolute;left:0pt;margin-left:-26.75pt;margin-top:5.85pt;height:181.9pt;width:204.75pt;z-index:251664384;mso-width-relative:page;mso-height-relative:page;" stroked="t" coordsize="21600,21600">
            <v:path/>
            <v:fill focussize="0,0"/>
            <v:stroke weight="3pt" color="#0070C0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申报材料：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1、工伤职工病情诊断证明书复印件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2、门诊治疗的收据、用药处方及处置单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3、住院治疗的收据、本人往返车票及食宿费（办理转外就医人员）、费用结算明细和病例复印件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4、工伤职工旧伤复发确认表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5、第三方责任工伤事故处理决定书（交通事故协议赔偿书、法院判决书、保险公司理赔书或双方经公证处公证的协议书之一）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6、网银结算信息资料申报表（一份电子版、二份纸质版）</w:t>
                  </w:r>
                </w:p>
              </w:txbxContent>
            </v:textbox>
          </v:shape>
        </w:pict>
      </w:r>
    </w:p>
    <w:p>
      <w:pPr>
        <w:rPr>
          <w:rFonts w:asciiTheme="majorEastAsia" w:hAnsiTheme="majorEastAsia" w:eastAsiaTheme="majorEastAsia"/>
          <w:szCs w:val="21"/>
        </w:rPr>
      </w:pPr>
    </w:p>
    <w:p>
      <w:pPr>
        <w:rPr>
          <w:rFonts w:asciiTheme="majorEastAsia" w:hAnsiTheme="majorEastAsia" w:eastAsiaTheme="majorEastAsia"/>
          <w:szCs w:val="21"/>
        </w:rPr>
      </w:pPr>
    </w:p>
    <w:p>
      <w:pPr>
        <w:rPr>
          <w:rFonts w:asciiTheme="majorEastAsia" w:hAnsiTheme="majorEastAsia" w:eastAsiaTheme="majorEastAsia"/>
          <w:szCs w:val="21"/>
        </w:rPr>
      </w:pPr>
    </w:p>
    <w:p>
      <w:pPr>
        <w:rPr>
          <w:rFonts w:asciiTheme="majorEastAsia" w:hAnsiTheme="majorEastAsia" w:eastAsiaTheme="majorEastAsia"/>
          <w:szCs w:val="21"/>
        </w:rPr>
      </w:pPr>
    </w:p>
    <w:p>
      <w:pPr>
        <w:rPr>
          <w:rFonts w:asciiTheme="majorEastAsia" w:hAnsiTheme="majorEastAsia" w:eastAsiaTheme="majorEastAsia"/>
          <w:szCs w:val="21"/>
        </w:rPr>
      </w:pPr>
    </w:p>
    <w:p>
      <w:pPr>
        <w:rPr>
          <w:rFonts w:asciiTheme="majorEastAsia" w:hAnsiTheme="majorEastAsia" w:eastAsiaTheme="majorEastAsia"/>
          <w:szCs w:val="21"/>
        </w:rPr>
      </w:pPr>
    </w:p>
    <w:p>
      <w:pPr>
        <w:rPr>
          <w:rFonts w:asciiTheme="majorEastAsia" w:hAnsiTheme="majorEastAsia" w:eastAsiaTheme="majorEastAsia"/>
          <w:szCs w:val="21"/>
        </w:rPr>
      </w:pPr>
    </w:p>
    <w:p>
      <w:pPr>
        <w:rPr>
          <w:rFonts w:asciiTheme="majorEastAsia" w:hAnsiTheme="majorEastAsia" w:eastAsiaTheme="majorEastAsia"/>
          <w:szCs w:val="21"/>
        </w:rPr>
      </w:pPr>
    </w:p>
    <w:p>
      <w:pPr>
        <w:rPr>
          <w:rFonts w:asciiTheme="majorEastAsia" w:hAnsiTheme="majorEastAsia" w:eastAsiaTheme="majorEastAsia"/>
          <w:szCs w:val="21"/>
        </w:rPr>
      </w:pPr>
    </w:p>
    <w:p>
      <w:pPr>
        <w:rPr>
          <w:rFonts w:asciiTheme="majorEastAsia" w:hAnsiTheme="majorEastAsia" w:eastAsiaTheme="majorEastAsia"/>
          <w:szCs w:val="21"/>
        </w:rPr>
      </w:pPr>
    </w:p>
    <w:p>
      <w:pPr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pict>
          <v:shape id="_x0000_s2083" o:spid="_x0000_s2083" o:spt="32" type="#_x0000_t32" style="position:absolute;left:0pt;margin-left:56.1pt;margin-top:16.85pt;height:0.85pt;width:0.4pt;z-index:25168486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Cs w:val="21"/>
        </w:rPr>
        <w:pict>
          <v:shape id="_x0000_s2084" o:spid="_x0000_s2084" o:spt="32" type="#_x0000_t32" style="position:absolute;left:0pt;flip:x;margin-left:284.1pt;margin-top:7pt;height:18.1pt;width:0.4pt;z-index:25168588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Cs w:val="21"/>
        </w:rPr>
        <w:pict>
          <v:shape id="_x0000_s2077" o:spid="_x0000_s2077" o:spt="32" type="#_x0000_t32" style="position:absolute;left:0pt;flip:x;margin-left:715.35pt;margin-top:2.4pt;height:19.7pt;width:0.2pt;z-index:251687936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pict>
          <v:shape id="_x0000_s2060" o:spid="_x0000_s2060" o:spt="32" type="#_x0000_t32" style="position:absolute;left:0pt;margin-left:52.75pt;margin-top:1.15pt;height:8.75pt;width:0.35pt;z-index:25242419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Cs w:val="21"/>
        </w:rPr>
        <w:pict>
          <v:shape id="_x0000_s2076" o:spid="_x0000_s2076" o:spt="109" type="#_x0000_t109" style="position:absolute;left:0pt;margin-left:312.2pt;margin-top:12.45pt;height:22.8pt;width:147.3pt;z-index:251669504;mso-width-relative:page;mso-height-relative:page;" stroked="t" coordsize="21600,21600">
            <v:path/>
            <v:fill focussize="0,0"/>
            <v:stroke weight="3pt" color="#0070C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工伤科待遇初审、复核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Cs w:val="21"/>
        </w:rPr>
        <w:pict>
          <v:shape id="_x0000_s2082" o:spid="_x0000_s2082" o:spt="32" type="#_x0000_t32" style="position:absolute;left:0pt;flip:y;margin-left:52.35pt;margin-top:8pt;height:0.75pt;width:665.25pt;z-index:25168384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Cs w:val="21"/>
        </w:rPr>
        <w:pict>
          <v:shape id="_x0000_s2081" o:spid="_x0000_s2081" o:spt="32" type="#_x0000_t32" style="position:absolute;left:0pt;flip:x;margin-left:382.4pt;margin-top:5pt;height:9.55pt;width:0.7pt;z-index:251688960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Theme="majorEastAsia" w:hAnsiTheme="majorEastAsia" w:eastAsiaTheme="majorEastAsia"/>
          <w:szCs w:val="21"/>
        </w:rPr>
      </w:pPr>
    </w:p>
    <w:p>
      <w:pPr>
        <w:rPr>
          <w:rFonts w:asciiTheme="majorEastAsia" w:hAnsiTheme="majorEastAsia" w:eastAsiaTheme="majorEastAsia"/>
          <w:szCs w:val="21"/>
        </w:rPr>
      </w:pPr>
      <w:r>
        <w:pict>
          <v:shape id="文本框 2" o:spid="_x0000_s2073" o:spt="202" type="#_x0000_t202" style="position:absolute;left:0pt;margin-left:10.5pt;margin-top:4.05pt;height:81.85pt;width:267.55pt;mso-wrap-distance-bottom:3.6pt;mso-wrap-distance-left:9pt;mso-wrap-distance-right:9pt;mso-wrap-distance-top:3.6pt;z-index:251866112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Theme="majorEastAsia" w:hAnsiTheme="majorEastAsia" w:eastAsiaTheme="maj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szCs w:val="21"/>
                    </w:rPr>
                    <w:t xml:space="preserve">               </w:t>
                  </w:r>
                  <w:r>
                    <w:rPr>
                      <w:rFonts w:hint="eastAsia" w:asciiTheme="majorEastAsia" w:hAnsiTheme="majorEastAsia" w:eastAsiaTheme="majorEastAsia"/>
                      <w:b/>
                      <w:sz w:val="24"/>
                      <w:szCs w:val="24"/>
                    </w:rPr>
                    <w:t xml:space="preserve"> 表格下载地址</w:t>
                  </w:r>
                </w:p>
                <w:p>
                  <w:pPr>
                    <w:rPr>
                      <w:rFonts w:asciiTheme="majorEastAsia" w:hAnsiTheme="majorEastAsia" w:eastAsiaTheme="majorEastAsia"/>
                      <w:b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szCs w:val="21"/>
                    </w:rPr>
                    <w:t>登录呼和浩特市人力资源和社会保障局官网首页—办事服务—表格下载-工伤业务表格下载</w:t>
                  </w:r>
                </w:p>
              </w:txbxContent>
            </v:textbox>
            <w10:wrap type="square"/>
          </v:shape>
        </w:pict>
      </w:r>
      <w:r>
        <w:pict>
          <v:shape id="_x0000_s2093" o:spid="_x0000_s2093" o:spt="202" type="#_x0000_t202" style="position:absolute;left:0pt;margin-left:491.35pt;margin-top:4.05pt;height:84pt;width:267.55pt;mso-wrap-distance-bottom:3.6pt;mso-wrap-distance-left:9pt;mso-wrap-distance-right:9pt;mso-wrap-distance-top:3.6pt;z-index:252395520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1606" w:firstLineChars="500"/>
                    <w:rPr>
                      <w:rFonts w:asciiTheme="majorEastAsia" w:hAnsiTheme="majorEastAsia" w:eastAsiaTheme="majorEastAsia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sz w:val="32"/>
                      <w:szCs w:val="32"/>
                    </w:rPr>
                    <w:t>备案咨询</w:t>
                  </w:r>
                  <w:r>
                    <w:rPr>
                      <w:rFonts w:asciiTheme="majorEastAsia" w:hAnsiTheme="majorEastAsia" w:eastAsiaTheme="majorEastAsia"/>
                      <w:b/>
                      <w:sz w:val="32"/>
                      <w:szCs w:val="32"/>
                    </w:rPr>
                    <w:t>电话</w:t>
                  </w:r>
                </w:p>
                <w:p>
                  <w:pPr>
                    <w:ind w:left="319" w:leftChars="152"/>
                    <w:rPr>
                      <w:rFonts w:asciiTheme="majorEastAsia" w:hAnsiTheme="majorEastAsia" w:eastAsiaTheme="majorEastAsia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sz w:val="32"/>
                      <w:szCs w:val="32"/>
                    </w:rPr>
                    <w:t>0471-5181233、3691123、3591727</w:t>
                  </w:r>
                </w:p>
              </w:txbxContent>
            </v:textbox>
            <w10:wrap type="square"/>
          </v:shape>
        </w:pict>
      </w:r>
    </w:p>
    <w:p>
      <w:pPr>
        <w:rPr>
          <w:rFonts w:asciiTheme="majorEastAsia" w:hAnsiTheme="majorEastAsia" w:eastAsiaTheme="majorEastAsia"/>
          <w:szCs w:val="21"/>
        </w:rPr>
      </w:pPr>
      <w:bookmarkStart w:id="0" w:name="_GoBack"/>
      <w:bookmarkEnd w:id="0"/>
    </w:p>
    <w:p>
      <w:pPr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pict>
          <v:shape id="_x0000_s2074" o:spid="_x0000_s2074" o:spt="32" type="#_x0000_t32" style="position:absolute;left:0pt;flip:x;margin-left:93.45pt;margin-top:4.1pt;height:18pt;width:0.75pt;z-index:251731968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tabs>
          <w:tab w:val="left" w:pos="1054"/>
        </w:tabs>
        <w:jc w:val="left"/>
      </w:pPr>
      <w:r>
        <w:rPr>
          <w:rFonts w:asciiTheme="majorEastAsia" w:hAnsiTheme="majorEastAsia" w:eastAsiaTheme="majorEastAsia"/>
          <w:szCs w:val="21"/>
        </w:rPr>
        <w:pict>
          <v:shape id="_x0000_s2072" o:spid="_x0000_s2072" o:spt="109" type="#_x0000_t109" style="position:absolute;left:0pt;margin-left:8.55pt;margin-top:46.3pt;height:22.85pt;width:174.85pt;z-index:251833344;mso-width-relative:page;mso-height-relative:page;" stroked="t" coordsize="21600,21600">
            <v:path/>
            <v:fill focussize="0,0"/>
            <v:stroke weight="3pt" color="#0070C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基金科通过网银支付待遇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Cs w:val="21"/>
        </w:rPr>
        <w:pict>
          <v:shape id="_x0000_s2078" o:spid="_x0000_s2078" o:spt="32" type="#_x0000_t32" style="position:absolute;left:0pt;margin-left:91.95pt;margin-top:32.75pt;height:12.75pt;width:0pt;z-index:251820032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Theme="majorEastAsia" w:hAnsiTheme="majorEastAsia" w:eastAsiaTheme="majorEastAsia"/>
          <w:szCs w:val="21"/>
        </w:rPr>
        <w:tab/>
      </w:r>
    </w:p>
    <w:sectPr>
      <w:headerReference r:id="rId3" w:type="default"/>
      <w:pgSz w:w="16838" w:h="11906" w:orient="landscape"/>
      <w:pgMar w:top="607" w:right="720" w:bottom="60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4E4"/>
    <w:rsid w:val="000D17D0"/>
    <w:rsid w:val="001155C7"/>
    <w:rsid w:val="00142F71"/>
    <w:rsid w:val="001571C6"/>
    <w:rsid w:val="00202AEE"/>
    <w:rsid w:val="0033170B"/>
    <w:rsid w:val="00413089"/>
    <w:rsid w:val="00413B1F"/>
    <w:rsid w:val="00466AB3"/>
    <w:rsid w:val="00637562"/>
    <w:rsid w:val="006F71E6"/>
    <w:rsid w:val="00851538"/>
    <w:rsid w:val="008C6D22"/>
    <w:rsid w:val="009B44E4"/>
    <w:rsid w:val="00A1547C"/>
    <w:rsid w:val="00A25A1C"/>
    <w:rsid w:val="00A43229"/>
    <w:rsid w:val="00A979BC"/>
    <w:rsid w:val="00AE3E25"/>
    <w:rsid w:val="00C02F0E"/>
    <w:rsid w:val="00C51BC7"/>
    <w:rsid w:val="00C83AA1"/>
    <w:rsid w:val="00CE30E0"/>
    <w:rsid w:val="00E014CF"/>
    <w:rsid w:val="00E24DEC"/>
    <w:rsid w:val="00F72165"/>
    <w:rsid w:val="04992BE0"/>
    <w:rsid w:val="05394F79"/>
    <w:rsid w:val="07096305"/>
    <w:rsid w:val="0B3E0F02"/>
    <w:rsid w:val="0D191756"/>
    <w:rsid w:val="0E1C4208"/>
    <w:rsid w:val="121416F3"/>
    <w:rsid w:val="14DB2E41"/>
    <w:rsid w:val="1D6C6DAA"/>
    <w:rsid w:val="225B2CBD"/>
    <w:rsid w:val="23AB29B5"/>
    <w:rsid w:val="23B25366"/>
    <w:rsid w:val="24397D28"/>
    <w:rsid w:val="2E0A25A1"/>
    <w:rsid w:val="32634F56"/>
    <w:rsid w:val="32AA670D"/>
    <w:rsid w:val="348B2BCE"/>
    <w:rsid w:val="35512F51"/>
    <w:rsid w:val="36E23FF6"/>
    <w:rsid w:val="38BA011C"/>
    <w:rsid w:val="3ABD46F0"/>
    <w:rsid w:val="3C474342"/>
    <w:rsid w:val="3CE855EF"/>
    <w:rsid w:val="41590A0B"/>
    <w:rsid w:val="42B42E1E"/>
    <w:rsid w:val="44D11935"/>
    <w:rsid w:val="48FC0AFC"/>
    <w:rsid w:val="533D729B"/>
    <w:rsid w:val="5751038D"/>
    <w:rsid w:val="58251DB6"/>
    <w:rsid w:val="672E32B4"/>
    <w:rsid w:val="6BE02D00"/>
    <w:rsid w:val="71A32C6B"/>
    <w:rsid w:val="732432BF"/>
    <w:rsid w:val="777B28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8"/>
        <o:r id="V:Rule2" type="connector" idref="#_x0000_s2060"/>
        <o:r id="V:Rule3" type="connector" idref="#_x0000_s2061"/>
        <o:r id="V:Rule4" type="connector" idref="#_x0000_s2063"/>
        <o:r id="V:Rule5" type="connector" idref="#_x0000_s2064"/>
        <o:r id="V:Rule6" type="connector" idref="#_x0000_s2066"/>
        <o:r id="V:Rule7" type="connector" idref="#_x0000_s2067"/>
        <o:r id="V:Rule8" type="connector" idref="#_x0000_s2069"/>
        <o:r id="V:Rule9" type="connector" idref="#_x0000_s2070"/>
        <o:r id="V:Rule10" type="connector" idref="#_x0000_s2074"/>
        <o:r id="V:Rule11" type="connector" idref="#_x0000_s2075"/>
        <o:r id="V:Rule12" type="connector" idref="#_x0000_s2077"/>
        <o:r id="V:Rule13" type="connector" idref="#_x0000_s2078"/>
        <o:r id="V:Rule14" type="connector" idref="#_x0000_s2081"/>
        <o:r id="V:Rule15" type="connector" idref="#_x0000_s2082"/>
        <o:r id="V:Rule16" type="connector" idref="#_x0000_s2083"/>
        <o:r id="V:Rule17" type="connector" idref="#_x0000_s2084"/>
        <o:r id="V:Rule18" type="connector" idref="#_x0000_s2085"/>
        <o:r id="V:Rule19" type="connector" idref="#_x0000_s2091"/>
        <o:r id="V:Rule20" type="connector" idref="#_x0000_s209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6"/>
    <customShpInfo spid="_x0000_s2057"/>
    <customShpInfo spid="_x0000_s2058"/>
    <customShpInfo spid="_x0000_s2059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5"/>
    <customShpInfo spid="_x0000_s2079"/>
    <customShpInfo spid="_x0000_s2080"/>
    <customShpInfo spid="_x0000_s2085"/>
    <customShpInfo spid="_x0000_s2086"/>
    <customShpInfo spid="_x0000_s2087"/>
    <customShpInfo spid="_x0000_s2088"/>
    <customShpInfo spid="_x0000_s2089"/>
    <customShpInfo spid="_x0000_s2092"/>
    <customShpInfo spid="_x0000_s2055"/>
    <customShpInfo spid="_x0000_s2091"/>
    <customShpInfo spid="_x0000_s2090"/>
    <customShpInfo spid="_x0000_s2083"/>
    <customShpInfo spid="_x0000_s2084"/>
    <customShpInfo spid="_x0000_s2077"/>
    <customShpInfo spid="_x0000_s2060"/>
    <customShpInfo spid="_x0000_s2076"/>
    <customShpInfo spid="_x0000_s2082"/>
    <customShpInfo spid="_x0000_s2081"/>
    <customShpInfo spid="_x0000_s2073"/>
    <customShpInfo spid="_x0000_s2093"/>
    <customShpInfo spid="_x0000_s2074"/>
    <customShpInfo spid="_x0000_s2072"/>
    <customShpInfo spid="_x0000_s207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</Words>
  <Characters>71</Characters>
  <Lines>1</Lines>
  <Paragraphs>1</Paragraphs>
  <TotalTime>5</TotalTime>
  <ScaleCrop>false</ScaleCrop>
  <LinksUpToDate>false</LinksUpToDate>
  <CharactersWithSpaces>82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2018-03-17T11:13:00Z</dcterms:created>
  <dc:creator>微软用户</dc:creator>
  <cp:lastModifiedBy>lrf</cp:lastModifiedBy>
  <cp:lastPrinted>2019-06-13T23:47:00Z</cp:lastPrinted>
  <dcterms:modified xsi:type="dcterms:W3CDTF">2020-04-24T08:25:21Z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